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r>
        <w:rPr>
          <w:b/>
          <w:i w:val="0"/>
          <w:color w:val="4C8A70"/>
          <w:sz w:val="20"/>
          <w:rtl/>
          <w:bCs/>
        </w:rPr>
        <w:t>Remote Pro Ai</w:t>
      </w:r>
    </w:p>
    <w:p>
      <w:pPr>
        <w:bidi/>
        <w:pStyle w:val="Title"/>
        <w:jc w:val="right"/>
      </w:pPr>
      <w:r>
        <w:rPr>
          <w:b/>
          <w:i w:val="0"/>
          <w:color w:val="2C5A48"/>
          <w:rtl/>
          <w:bCs/>
        </w:rPr>
        <w:t>اتفاقية معالجة البيانات (DPA) — الشروط الرئيسية (ملخص)</w:t>
      </w:r>
    </w:p>
    <w:p>
      <w:pPr>
        <w:bidi/>
        <w:jc w:val="right"/>
      </w:pPr>
      <w:r>
        <w:rPr>
          <w:b w:val="0"/>
          <w:i/>
          <w:color w:val="3B4A5C"/>
          <w:rtl/>
        </w:rPr>
        <w:t>ملاحق PDPL السعودي والإماراتي وDIFC وGDPR، وتقييم أثر النقل، وضوابط فنية وتنظيمية، وإخطار خلال 24 ساعة.</w:t>
      </w:r>
    </w:p>
    <w:p>
      <w:pPr>
        <w:bidi/>
        <w:jc w:val="right"/>
      </w:pPr>
      <w:r>
        <w:rPr>
          <w:b/>
          <w:i w:val="0"/>
          <w:color w:val="2C5A48"/>
          <w:rtl/>
          <w:bCs/>
        </w:rPr>
        <w:t>الإصدار 2026.10 · آخر مراجعة قانونية: بانتظار المستشار القانوني</w:t>
      </w:r>
    </w:p>
    <w:p>
      <w:pPr>
        <w:bidi/>
        <w:jc w:val="right"/>
      </w:pPr>
      <w:r>
        <w:rPr>
          <w:b/>
          <w:i w:val="0"/>
          <w:color w:val="2C5A48"/>
          <w:rtl/>
          <w:bCs/>
        </w:rPr>
        <w:t>ملخص للشروط الرئيسية المنشورة على remote-pro.ai — وليس الاتفاقية النافذة.</w:t>
      </w:r>
    </w:p>
    <w:p>
      <w:pPr>
        <w:bidi/>
        <w:jc w:val="right"/>
      </w:pPr>
      <w:r>
        <w:rPr>
          <w:b w:val="0"/>
          <w:i w:val="0"/>
          <w:color w:val="3B4A5C"/>
          <w:sz w:val="16"/>
          <w:rtl/>
        </w:rPr>
        <w:t>نُشر في أكتوبر 2026 · المصدر: النص المنشور على remote-pro.ai/ar/legal/dpa · بصمة SHA-256 للنص المصدر e587e2a21973d50f</w:t>
      </w:r>
    </w:p>
    <w:p>
      <w:pPr>
        <w:keepNext/>
        <w:bidi/>
        <w:pStyle w:val="Heading1"/>
        <w:jc w:val="right"/>
      </w:pPr>
      <w:r>
        <w:rPr>
          <w:b w:val="0"/>
          <w:i w:val="0"/>
          <w:rtl/>
        </w:rPr>
        <w:t>الملخص</w:t>
      </w:r>
    </w:p>
    <w:p>
      <w:pPr>
        <w:bidi/>
        <w:jc w:val="right"/>
        <w:shd w:val="clear" w:fill="EEF5F1"/>
      </w:pPr>
      <w:r>
        <w:rPr>
          <w:b w:val="0"/>
          <w:i w:val="0"/>
          <w:rtl/>
        </w:rPr>
        <w:t>هذه الصفحة ملخص بلغة واضحة وليست استشارة قانونية، ويسري النص الموقّع عند أي اختلاف.</w:t>
      </w:r>
    </w:p>
    <w:p>
      <w:pPr>
        <w:bidi/>
        <w:jc w:val="right"/>
      </w:pPr>
      <w:r>
        <w:rPr>
          <w:b w:val="0"/>
          <w:i w:val="0"/>
          <w:rtl/>
        </w:rPr>
        <w:t>تحكم اتفاقية معالجة البيانات البيانات الشخصية التي يعالجها مهندسونا لك: أنت جهة التحكم، ونحن المعالج. وتغطي ملاحقها GDPR وDIFC وADGM والنظامين السعودي والإماراتي.</w:t>
      </w:r>
    </w:p>
    <w:p>
      <w:pPr>
        <w:bidi/>
        <w:jc w:val="right"/>
      </w:pPr>
      <w:r>
        <w:rPr>
          <w:b/>
          <w:i w:val="0"/>
          <w:rtl/>
          <w:bCs/>
        </w:rPr>
        <w:t>من تحمي؟</w:t>
      </w:r>
      <w:r>
        <w:rPr>
          <w:b w:val="0"/>
          <w:i w:val="0"/>
          <w:rtl/>
        </w:rPr>
        <w:t xml:space="preserve"> تحمي أصحاب البيانات أولًا، ثم العميل بصفته جهة التحكم المسؤولة أمام الجهات الرقابية، بتحديد ما يحق لـRemote Pro Ai فعله بالبيانات وما لا يحق.</w:t>
      </w:r>
    </w:p>
    <w:p>
      <w:pPr>
        <w:keepNext/>
        <w:bidi/>
        <w:pStyle w:val="Heading2"/>
        <w:jc w:val="right"/>
      </w:pPr>
      <w:r>
        <w:rPr>
          <w:b w:val="0"/>
          <w:i w:val="0"/>
          <w:rtl/>
        </w:rPr>
        <w:t>أهم البنود في لمحة</w:t>
      </w:r>
    </w:p>
    <w:p>
      <w:pPr>
        <w:bidi/>
        <w:jc w:val="right"/>
        <w:ind w:start="420" w:hanging="420"/>
      </w:pPr>
      <w:r>
        <w:rPr>
          <w:b w:val="0"/>
          <w:i w:val="0"/>
          <w:rtl/>
        </w:rPr>
        <w:t xml:space="preserve">1. </w:t>
      </w:r>
      <w:r>
        <w:rPr>
          <w:b/>
          <w:i w:val="0"/>
          <w:rtl/>
          <w:bCs/>
        </w:rPr>
        <w:t>الأدوار:</w:t>
      </w:r>
      <w:r>
        <w:rPr>
          <w:b w:val="0"/>
          <w:i w:val="0"/>
          <w:rtl/>
        </w:rPr>
        <w:t xml:space="preserve"> العميل جهة تحكم، وRemote Pro Ai معالج يعمل بتعليماته الموثقة فقط.</w:t>
      </w:r>
    </w:p>
    <w:p>
      <w:pPr>
        <w:bidi/>
        <w:jc w:val="right"/>
        <w:ind w:start="420" w:hanging="420"/>
      </w:pPr>
      <w:r>
        <w:rPr>
          <w:b w:val="0"/>
          <w:i w:val="0"/>
          <w:rtl/>
        </w:rPr>
        <w:t xml:space="preserve">2. </w:t>
      </w:r>
      <w:r>
        <w:rPr>
          <w:b/>
          <w:i w:val="0"/>
          <w:rtl/>
          <w:bCs/>
        </w:rPr>
        <w:t>الغرض:</w:t>
      </w:r>
      <w:r>
        <w:rPr>
          <w:b w:val="0"/>
          <w:i w:val="0"/>
          <w:rtl/>
        </w:rPr>
        <w:t xml:space="preserve"> تقديم الخدمات المحددة في بيان العمل، دون أي استخدام آخر.</w:t>
      </w:r>
    </w:p>
    <w:p>
      <w:pPr>
        <w:bidi/>
        <w:jc w:val="right"/>
        <w:ind w:start="420" w:hanging="420"/>
      </w:pPr>
      <w:r>
        <w:rPr>
          <w:b w:val="0"/>
          <w:i w:val="0"/>
          <w:rtl/>
        </w:rPr>
        <w:t xml:space="preserve">3. </w:t>
      </w:r>
      <w:r>
        <w:rPr>
          <w:b/>
          <w:i w:val="0"/>
          <w:rtl/>
          <w:bCs/>
        </w:rPr>
        <w:t>نمط الإقامة:</w:t>
      </w:r>
      <w:r>
        <w:rPr>
          <w:b w:val="0"/>
          <w:i w:val="0"/>
          <w:rtl/>
        </w:rPr>
        <w:t xml:space="preserve"> أ أو ب أو ج كما هو مكتوب في بيان العمل.</w:t>
      </w:r>
    </w:p>
    <w:p>
      <w:pPr>
        <w:bidi/>
        <w:jc w:val="right"/>
        <w:ind w:start="420" w:hanging="420"/>
      </w:pPr>
      <w:r>
        <w:rPr>
          <w:b w:val="0"/>
          <w:i w:val="0"/>
          <w:rtl/>
        </w:rPr>
        <w:t xml:space="preserve">4. </w:t>
      </w:r>
      <w:r>
        <w:rPr>
          <w:b/>
          <w:i w:val="0"/>
          <w:rtl/>
          <w:bCs/>
        </w:rPr>
        <w:t>النقل عبر الحدود:</w:t>
      </w:r>
      <w:r>
        <w:rPr>
          <w:b w:val="0"/>
          <w:i w:val="0"/>
          <w:rtl/>
        </w:rPr>
        <w:t xml:space="preserve"> بالبنود التعاقدية المعيارية السعودية أو الأوروبية أو البريطانية بحسب الحالة.</w:t>
      </w:r>
    </w:p>
    <w:p>
      <w:pPr>
        <w:bidi/>
        <w:jc w:val="right"/>
        <w:ind w:start="420" w:hanging="420"/>
      </w:pPr>
      <w:r>
        <w:rPr>
          <w:b w:val="0"/>
          <w:i w:val="0"/>
          <w:rtl/>
        </w:rPr>
        <w:t xml:space="preserve">5. </w:t>
      </w:r>
      <w:r>
        <w:rPr>
          <w:b/>
          <w:i w:val="0"/>
          <w:rtl/>
          <w:bCs/>
        </w:rPr>
        <w:t>لا ادعاء بالكفاية:</w:t>
      </w:r>
      <w:r>
        <w:rPr>
          <w:b w:val="0"/>
          <w:i w:val="0"/>
          <w:rtl/>
        </w:rPr>
        <w:t xml:space="preserve"> كل نقل مبني على ضمانات تعاقدية وتقييم مخاطر موثق.</w:t>
      </w:r>
    </w:p>
    <w:p>
      <w:pPr>
        <w:bidi/>
        <w:jc w:val="right"/>
        <w:ind w:start="420" w:hanging="420"/>
      </w:pPr>
      <w:r>
        <w:rPr>
          <w:b w:val="0"/>
          <w:i w:val="0"/>
          <w:rtl/>
        </w:rPr>
        <w:t xml:space="preserve">6. </w:t>
      </w:r>
      <w:r>
        <w:rPr>
          <w:b/>
          <w:i w:val="0"/>
          <w:rtl/>
          <w:bCs/>
        </w:rPr>
        <w:t>المعالجون الفرعيون:</w:t>
      </w:r>
      <w:r>
        <w:rPr>
          <w:b w:val="0"/>
          <w:i w:val="0"/>
          <w:rtl/>
        </w:rPr>
        <w:t xml:space="preserve"> قائمة منشورة، وإشعار 30 يومًا قبل أي إضافة، وحق الاعتراض.</w:t>
      </w:r>
    </w:p>
    <w:p>
      <w:pPr>
        <w:bidi/>
        <w:jc w:val="right"/>
        <w:ind w:start="420" w:hanging="420"/>
      </w:pPr>
      <w:r>
        <w:rPr>
          <w:b w:val="0"/>
          <w:i w:val="0"/>
          <w:rtl/>
        </w:rPr>
        <w:t xml:space="preserve">7. </w:t>
      </w:r>
      <w:r>
        <w:rPr>
          <w:b/>
          <w:i w:val="0"/>
          <w:rtl/>
          <w:bCs/>
        </w:rPr>
        <w:t>الإخطار بالحوادث:</w:t>
      </w:r>
      <w:r>
        <w:rPr>
          <w:b w:val="0"/>
          <w:i w:val="0"/>
          <w:rtl/>
        </w:rPr>
        <w:t xml:space="preserve"> خلال 24 ساعة من التحقق من الحادثة.</w:t>
      </w:r>
    </w:p>
    <w:p>
      <w:pPr>
        <w:bidi/>
        <w:jc w:val="right"/>
        <w:ind w:start="420" w:hanging="420"/>
      </w:pPr>
      <w:r>
        <w:rPr>
          <w:b w:val="0"/>
          <w:i w:val="0"/>
          <w:rtl/>
        </w:rPr>
        <w:t xml:space="preserve">8. </w:t>
      </w:r>
      <w:r>
        <w:rPr>
          <w:b/>
          <w:i w:val="0"/>
          <w:rtl/>
          <w:bCs/>
        </w:rPr>
        <w:t>السرية:</w:t>
      </w:r>
      <w:r>
        <w:rPr>
          <w:b w:val="0"/>
          <w:i w:val="0"/>
          <w:rtl/>
        </w:rPr>
        <w:t xml:space="preserve"> كل من يصل إلى البيانات ملتزم كتابيًا بالسرية وخضع لفحص الخلفية.</w:t>
      </w:r>
    </w:p>
    <w:p>
      <w:pPr>
        <w:bidi/>
        <w:jc w:val="right"/>
        <w:ind w:start="420" w:hanging="420"/>
      </w:pPr>
      <w:r>
        <w:rPr>
          <w:b w:val="0"/>
          <w:i w:val="0"/>
          <w:rtl/>
        </w:rPr>
        <w:t xml:space="preserve">9. </w:t>
      </w:r>
      <w:r>
        <w:rPr>
          <w:b/>
          <w:i w:val="0"/>
          <w:rtl/>
          <w:bCs/>
        </w:rPr>
        <w:t>حقوق أصحاب البيانات:</w:t>
      </w:r>
      <w:r>
        <w:rPr>
          <w:b w:val="0"/>
          <w:i w:val="0"/>
          <w:rtl/>
        </w:rPr>
        <w:t xml:space="preserve"> مساعدة العميل في الرد ضمن المهل النظامية.</w:t>
      </w:r>
    </w:p>
    <w:p>
      <w:pPr>
        <w:bidi/>
        <w:jc w:val="right"/>
        <w:ind w:start="420" w:hanging="420"/>
      </w:pPr>
      <w:r>
        <w:rPr>
          <w:b w:val="0"/>
          <w:i w:val="0"/>
          <w:rtl/>
        </w:rPr>
        <w:t xml:space="preserve">10. </w:t>
      </w:r>
      <w:r>
        <w:rPr>
          <w:b/>
          <w:i w:val="0"/>
          <w:rtl/>
          <w:bCs/>
        </w:rPr>
        <w:t>التدقيق:</w:t>
      </w:r>
      <w:r>
        <w:rPr>
          <w:b w:val="0"/>
          <w:i w:val="0"/>
          <w:rtl/>
        </w:rPr>
        <w:t xml:space="preserve"> حق التدقيق بإشعار 10 أيام عمل، أو قبول تقارير مستقلة.</w:t>
      </w:r>
    </w:p>
    <w:p>
      <w:pPr>
        <w:bidi/>
        <w:jc w:val="right"/>
        <w:ind w:start="420" w:hanging="420"/>
      </w:pPr>
      <w:r>
        <w:rPr>
          <w:b w:val="0"/>
          <w:i w:val="0"/>
          <w:rtl/>
        </w:rPr>
        <w:t xml:space="preserve">11. </w:t>
      </w:r>
      <w:r>
        <w:rPr>
          <w:b/>
          <w:i w:val="0"/>
          <w:rtl/>
          <w:bCs/>
        </w:rPr>
        <w:t>الحذف أو الإعادة:</w:t>
      </w:r>
      <w:r>
        <w:rPr>
          <w:b w:val="0"/>
          <w:i w:val="0"/>
          <w:rtl/>
        </w:rPr>
        <w:t xml:space="preserve"> عند انتهاء الخدمة، مع شهادة حذف مكتوبة.</w:t>
      </w:r>
    </w:p>
    <w:p>
      <w:pPr>
        <w:bidi/>
        <w:jc w:val="right"/>
        <w:ind w:start="420" w:hanging="420"/>
      </w:pPr>
      <w:r>
        <w:rPr>
          <w:b w:val="0"/>
          <w:i w:val="0"/>
          <w:rtl/>
        </w:rPr>
        <w:t xml:space="preserve">12. </w:t>
      </w:r>
      <w:r>
        <w:rPr>
          <w:b/>
          <w:i w:val="0"/>
          <w:rtl/>
          <w:bCs/>
        </w:rPr>
        <w:t>الضوابط الأمنية:</w:t>
      </w:r>
      <w:r>
        <w:rPr>
          <w:b w:val="0"/>
          <w:i w:val="0"/>
          <w:rtl/>
        </w:rPr>
        <w:t xml:space="preserve"> ملحق ضوابط فنية وتنظيمية مفصّل وقابل للتدقيق.</w:t>
      </w:r>
    </w:p>
    <w:p>
      <w:pPr>
        <w:bidi/>
        <w:jc w:val="right"/>
        <w:ind w:start="420" w:hanging="420"/>
      </w:pPr>
      <w:r>
        <w:rPr>
          <w:b w:val="0"/>
          <w:i w:val="0"/>
          <w:rtl/>
        </w:rPr>
        <w:t xml:space="preserve">13. </w:t>
      </w:r>
      <w:r>
        <w:rPr>
          <w:b/>
          <w:i w:val="0"/>
          <w:rtl/>
          <w:bCs/>
        </w:rPr>
        <w:t>تقييم الأثر:</w:t>
      </w:r>
      <w:r>
        <w:rPr>
          <w:b w:val="0"/>
          <w:i w:val="0"/>
          <w:rtl/>
        </w:rPr>
        <w:t xml:space="preserve"> دعم العميل في تقييمات أثر حماية البيانات والمشاورات المسبقة.</w:t>
      </w:r>
    </w:p>
    <w:p>
      <w:pPr>
        <w:bidi/>
        <w:jc w:val="right"/>
        <w:ind w:start="420" w:hanging="420"/>
      </w:pPr>
      <w:r>
        <w:rPr>
          <w:b w:val="0"/>
          <w:i w:val="0"/>
          <w:rtl/>
        </w:rPr>
        <w:t xml:space="preserve">14. </w:t>
      </w:r>
      <w:r>
        <w:rPr>
          <w:b/>
          <w:i w:val="0"/>
          <w:rtl/>
          <w:bCs/>
        </w:rPr>
        <w:t>سقف المسؤولية:</w:t>
      </w:r>
      <w:r>
        <w:rPr>
          <w:b w:val="0"/>
          <w:i w:val="0"/>
          <w:rtl/>
        </w:rPr>
        <w:t xml:space="preserve"> سقف مستقل لمخالفات حماية البيانات يعادل رسوم 24 شهرًا، أعلى من سقف 12 شهرًا في الاتفاقية الإطارية.</w:t>
      </w:r>
    </w:p>
    <w:p>
      <w:pPr>
        <w:keepNext/>
        <w:bidi/>
        <w:pStyle w:val="Heading1"/>
        <w:jc w:val="right"/>
      </w:pPr>
      <w:r>
        <w:rPr>
          <w:b w:val="0"/>
          <w:i w:val="0"/>
          <w:rtl/>
        </w:rPr>
        <w:t>باختصار</w:t>
      </w:r>
    </w:p>
    <w:p>
      <w:pPr>
        <w:bidi/>
        <w:jc w:val="right"/>
      </w:pPr>
      <w:r>
        <w:rPr>
          <w:b w:val="0"/>
          <w:i w:val="0"/>
          <w:rtl/>
        </w:rPr>
        <w:t>اتفاقية معالجة البيانات (DPA) تحدد كيف تعالج Remote Pro Ai البيانات الشخصية نيابةً عن عملائها بصفتها معالجًا، وتُلحق بالاتفاقية الإطارية. تتضمن ملحقًا لكل نظام: PDPL السعودي بالبنود التعاقدية الصادرة عن SDAIA، والقانون الإماراتي وDIFC، وGDPR بالبنود الأوروبية، مع إخطار بأي حادثة خلال 24 ساعة.</w:t>
      </w:r>
    </w:p>
    <w:p>
      <w:pPr>
        <w:keepNext/>
        <w:bidi/>
        <w:pStyle w:val="Heading1"/>
        <w:jc w:val="right"/>
      </w:pPr>
      <w:r>
        <w:rPr>
          <w:b w:val="0"/>
          <w:i w:val="0"/>
          <w:rtl/>
        </w:rPr>
        <w:t>نقل مبني على بنود تعاقدية وتقييم مخاطر، لا على افتراضات</w:t>
      </w:r>
    </w:p>
    <w:p>
      <w:pPr>
        <w:bidi/>
        <w:jc w:val="right"/>
        <w:ind w:start="420" w:hanging="420"/>
      </w:pPr>
      <w:r>
        <w:rPr>
          <w:b w:val="0"/>
          <w:i w:val="0"/>
          <w:rtl/>
        </w:rPr>
        <w:t>• يسري الملحق حين يخضع العميل لنظام حماية البيانات الشخصية السعودي.</w:t>
      </w:r>
    </w:p>
    <w:p>
      <w:pPr>
        <w:bidi/>
        <w:jc w:val="right"/>
        <w:ind w:start="420" w:hanging="420"/>
      </w:pPr>
      <w:r>
        <w:rPr>
          <w:b w:val="0"/>
          <w:i w:val="0"/>
          <w:rtl/>
        </w:rPr>
        <w:t>• في النمطين أ وب لا تُخزَّن البيانات خارج المملكة، ويُوثَّق الوصول عن بُعد بوصفه نقلًا.</w:t>
      </w:r>
    </w:p>
    <w:p>
      <w:pPr>
        <w:bidi/>
        <w:jc w:val="right"/>
        <w:ind w:start="420" w:hanging="420"/>
      </w:pPr>
      <w:r>
        <w:rPr>
          <w:b w:val="0"/>
          <w:i w:val="0"/>
          <w:rtl/>
        </w:rPr>
        <w:t>• كل نقل خارج المملكة يستند إلى بنود SDAIA التعاقدية المعيارية وتقييم مخاطر موثّق.</w:t>
      </w:r>
    </w:p>
    <w:p>
      <w:pPr>
        <w:bidi/>
        <w:jc w:val="right"/>
        <w:ind w:start="420" w:hanging="420"/>
      </w:pPr>
      <w:r>
        <w:rPr>
          <w:b w:val="0"/>
          <w:i w:val="0"/>
          <w:rtl/>
        </w:rPr>
        <w:t>• لا نستند إلى أي قرار كفاية لدولة الوجهة، ولا ندّعي وجوده.</w:t>
      </w:r>
    </w:p>
    <w:p>
      <w:pPr>
        <w:bidi/>
        <w:jc w:val="right"/>
        <w:ind w:start="420" w:hanging="420"/>
      </w:pPr>
      <w:r>
        <w:rPr>
          <w:b w:val="0"/>
          <w:i w:val="0"/>
          <w:rtl/>
        </w:rPr>
        <w:t>• تقليل البيانات المنقولة إلى الحد الأدنى اللازم للمهمة.</w:t>
      </w:r>
    </w:p>
    <w:p>
      <w:pPr>
        <w:bidi/>
        <w:jc w:val="right"/>
        <w:ind w:start="420" w:hanging="420"/>
      </w:pPr>
      <w:r>
        <w:rPr>
          <w:b w:val="0"/>
          <w:i w:val="0"/>
          <w:rtl/>
        </w:rPr>
        <w:t>• إخطار العميل خلال 24 ساعة من التحقق من أي حادثة، ليتمكن من إبلاغ SDAIA خلال 72 ساعة.</w:t>
      </w:r>
    </w:p>
    <w:p>
      <w:pPr>
        <w:bidi/>
        <w:jc w:val="right"/>
        <w:ind w:start="420" w:hanging="420"/>
      </w:pPr>
      <w:r>
        <w:rPr>
          <w:b w:val="0"/>
          <w:i w:val="0"/>
          <w:rtl/>
        </w:rPr>
        <w:t>• سجل لأنشطة المعالجة، ومسؤول خصوصية مسمّى، وضوابط إضافية للبيانات الحساسة.</w:t>
      </w:r>
    </w:p>
    <w:p>
      <w:pPr>
        <w:keepNext/>
        <w:bidi/>
        <w:pStyle w:val="Heading1"/>
        <w:jc w:val="right"/>
      </w:pPr>
      <w:r>
        <w:rPr>
          <w:b w:val="0"/>
          <w:i w:val="0"/>
          <w:rtl/>
        </w:rPr>
        <w:t>ثلاثة أنظمة إماراتية، وملحق يغطيها</w:t>
      </w:r>
    </w:p>
    <w:tbl>
      <w:tblPr>
        <w:tblStyle w:val="TableGrid"/>
        <w:tblW w:type="auto" w:w="0"/>
        <w:tblLook w:firstColumn="1" w:firstRow="1" w:lastColumn="0" w:lastRow="0" w:noHBand="0" w:noVBand="1" w:val="04A0"/>
        <w:bidiVisual/>
      </w:tblPr>
      <w:tblGrid>
        <w:gridCol w:w="3213"/>
        <w:gridCol w:w="3213"/>
        <w:gridCol w:w="3213"/>
      </w:tblGrid>
      <w:tr>
        <w:trPr>
          <w:tblHeader/>
        </w:trPr>
        <w:tc>
          <w:tcPr>
            <w:tcW w:type="dxa" w:w="3213"/>
            <w:shd w:val="clear" w:color="auto" w:fill="2C5A48"/>
          </w:tcPr>
          <w:p>
            <w:pPr>
              <w:bidi/>
              <w:jc w:val="right"/>
            </w:pPr>
            <w:r/>
            <w:r>
              <w:rPr>
                <w:b/>
                <w:i w:val="0"/>
                <w:color w:val="FFFFFF"/>
                <w:sz w:val="18"/>
                <w:rtl/>
                <w:bCs/>
              </w:rPr>
              <w:t>النظام</w:t>
            </w:r>
          </w:p>
        </w:tc>
        <w:tc>
          <w:tcPr>
            <w:tcW w:type="dxa" w:w="3213"/>
            <w:shd w:val="clear" w:color="auto" w:fill="2C5A48"/>
          </w:tcPr>
          <w:p>
            <w:pPr>
              <w:bidi/>
              <w:jc w:val="right"/>
            </w:pPr>
            <w:r/>
            <w:r>
              <w:rPr>
                <w:b/>
                <w:i w:val="0"/>
                <w:color w:val="FFFFFF"/>
                <w:sz w:val="18"/>
                <w:rtl/>
                <w:bCs/>
              </w:rPr>
              <w:t>متى يسري</w:t>
            </w:r>
          </w:p>
        </w:tc>
        <w:tc>
          <w:tcPr>
            <w:tcW w:type="dxa" w:w="3213"/>
            <w:shd w:val="clear" w:color="auto" w:fill="2C5A48"/>
          </w:tcPr>
          <w:p>
            <w:pPr>
              <w:bidi/>
              <w:jc w:val="right"/>
            </w:pPr>
            <w:r/>
            <w:r>
              <w:rPr>
                <w:b/>
                <w:i w:val="0"/>
                <w:color w:val="FFFFFF"/>
                <w:sz w:val="18"/>
                <w:rtl/>
                <w:bCs/>
              </w:rPr>
              <w:t>آلية النقل</w:t>
            </w:r>
          </w:p>
        </w:tc>
      </w:tr>
      <w:tr>
        <w:tc>
          <w:tcPr>
            <w:tcW w:type="dxa" w:w="3213"/>
          </w:tcPr>
          <w:p>
            <w:pPr>
              <w:bidi/>
              <w:jc w:val="right"/>
            </w:pPr>
            <w:r/>
            <w:r>
              <w:rPr>
                <w:b w:val="0"/>
                <w:i w:val="0"/>
                <w:sz w:val="18"/>
                <w:rtl/>
              </w:rPr>
              <w:t>المرسوم بقانون اتحادي رقم 45 لسنة 2021</w:t>
            </w:r>
          </w:p>
        </w:tc>
        <w:tc>
          <w:tcPr>
            <w:tcW w:type="dxa" w:w="3213"/>
          </w:tcPr>
          <w:p>
            <w:pPr>
              <w:bidi/>
              <w:jc w:val="right"/>
            </w:pPr>
            <w:r/>
            <w:r>
              <w:rPr>
                <w:b w:val="0"/>
                <w:i w:val="0"/>
                <w:sz w:val="18"/>
                <w:rtl/>
              </w:rPr>
              <w:t>العملاء في البر الرئيسي للإمارات</w:t>
            </w:r>
          </w:p>
        </w:tc>
        <w:tc>
          <w:tcPr>
            <w:tcW w:type="dxa" w:w="3213"/>
          </w:tcPr>
          <w:p>
            <w:pPr>
              <w:bidi/>
              <w:jc w:val="right"/>
            </w:pPr>
            <w:r/>
            <w:r>
              <w:rPr>
                <w:b w:val="0"/>
                <w:i w:val="0"/>
                <w:sz w:val="18"/>
                <w:rtl/>
              </w:rPr>
              <w:t>ضمانات تعاقدية وفق القانون، مع تقييم مخاطر</w:t>
            </w:r>
          </w:p>
        </w:tc>
      </w:tr>
      <w:tr>
        <w:tc>
          <w:tcPr>
            <w:tcW w:type="dxa" w:w="3213"/>
          </w:tcPr>
          <w:p>
            <w:pPr>
              <w:bidi/>
              <w:jc w:val="right"/>
            </w:pPr>
            <w:r/>
            <w:r>
              <w:rPr>
                <w:b w:val="0"/>
                <w:i w:val="0"/>
                <w:sz w:val="18"/>
                <w:rtl/>
              </w:rPr>
              <w:t>قانون حماية البيانات في DIFC رقم 5 لسنة 2020</w:t>
            </w:r>
          </w:p>
        </w:tc>
        <w:tc>
          <w:tcPr>
            <w:tcW w:type="dxa" w:w="3213"/>
          </w:tcPr>
          <w:p>
            <w:pPr>
              <w:bidi/>
              <w:jc w:val="right"/>
            </w:pPr>
            <w:r/>
            <w:r>
              <w:rPr>
                <w:b w:val="0"/>
                <w:i w:val="0"/>
                <w:sz w:val="18"/>
                <w:rtl/>
              </w:rPr>
              <w:t>العملاء المرخّصون في DIFC</w:t>
            </w:r>
          </w:p>
        </w:tc>
        <w:tc>
          <w:tcPr>
            <w:tcW w:type="dxa" w:w="3213"/>
          </w:tcPr>
          <w:p>
            <w:pPr>
              <w:bidi/>
              <w:jc w:val="right"/>
            </w:pPr>
            <w:r/>
            <w:r>
              <w:rPr>
                <w:b w:val="0"/>
                <w:i w:val="0"/>
                <w:sz w:val="18"/>
                <w:rtl/>
              </w:rPr>
              <w:t>البنود التعاقدية المعيارية المعتمدة في DIFC</w:t>
            </w:r>
          </w:p>
        </w:tc>
      </w:tr>
      <w:tr>
        <w:tc>
          <w:tcPr>
            <w:tcW w:type="dxa" w:w="3213"/>
          </w:tcPr>
          <w:p>
            <w:pPr>
              <w:bidi/>
              <w:jc w:val="right"/>
            </w:pPr>
            <w:r/>
            <w:r>
              <w:rPr>
                <w:b w:val="0"/>
                <w:i w:val="0"/>
                <w:sz w:val="18"/>
                <w:rtl/>
              </w:rPr>
              <w:t>لوائح حماية البيانات في ADGM لسنة 2021</w:t>
            </w:r>
          </w:p>
        </w:tc>
        <w:tc>
          <w:tcPr>
            <w:tcW w:type="dxa" w:w="3213"/>
          </w:tcPr>
          <w:p>
            <w:pPr>
              <w:bidi/>
              <w:jc w:val="right"/>
            </w:pPr>
            <w:r/>
            <w:r>
              <w:rPr>
                <w:b w:val="0"/>
                <w:i w:val="0"/>
                <w:sz w:val="18"/>
                <w:rtl/>
              </w:rPr>
              <w:t>العملاء المرخّصون في ADGM</w:t>
            </w:r>
          </w:p>
        </w:tc>
        <w:tc>
          <w:tcPr>
            <w:tcW w:type="dxa" w:w="3213"/>
          </w:tcPr>
          <w:p>
            <w:pPr>
              <w:bidi/>
              <w:jc w:val="right"/>
            </w:pPr>
            <w:r/>
            <w:r>
              <w:rPr>
                <w:b w:val="0"/>
                <w:i w:val="0"/>
                <w:sz w:val="18"/>
                <w:rtl/>
              </w:rPr>
              <w:t>البنود التعاقدية المعيارية المعتمدة في ADGM</w:t>
            </w:r>
          </w:p>
        </w:tc>
      </w:tr>
    </w:tbl>
    <w:p/>
    <w:p>
      <w:pPr>
        <w:bidi/>
        <w:jc w:val="right"/>
      </w:pPr>
      <w:r>
        <w:rPr>
          <w:b w:val="0"/>
          <w:i w:val="0"/>
          <w:rtl/>
        </w:rPr>
        <w:t>يُطبَّق النمط ب في منطقة سحابية إماراتية حين تفرض متطلبات قطاعية، مثل القطاع الصحي، بقاء البيانات داخل الدولة.</w:t>
      </w:r>
    </w:p>
    <w:p>
      <w:pPr>
        <w:keepNext/>
        <w:bidi/>
        <w:pStyle w:val="Heading1"/>
        <w:jc w:val="right"/>
      </w:pPr>
      <w:r>
        <w:rPr>
          <w:b w:val="0"/>
          <w:i w:val="0"/>
          <w:rtl/>
        </w:rPr>
        <w:t>GDPR بآلياته الرسمية، وتقييم منشور الخلاصة</w:t>
      </w:r>
    </w:p>
    <w:p>
      <w:pPr>
        <w:bidi/>
        <w:jc w:val="right"/>
        <w:ind w:start="420" w:hanging="420"/>
      </w:pPr>
      <w:r>
        <w:rPr>
          <w:b w:val="0"/>
          <w:i w:val="0"/>
          <w:rtl/>
        </w:rPr>
        <w:t xml:space="preserve">• </w:t>
      </w:r>
      <w:r>
        <w:rPr>
          <w:b/>
          <w:i w:val="0"/>
          <w:rtl/>
          <w:bCs/>
        </w:rPr>
        <w:t>الوحدة 2 (جهة تحكم إلى معالج):</w:t>
      </w:r>
      <w:r>
        <w:rPr>
          <w:b w:val="0"/>
          <w:i w:val="0"/>
          <w:rtl/>
        </w:rPr>
        <w:t xml:space="preserve"> حين يصدّر عميل أوروبي البيانات إلينا في مصر.</w:t>
      </w:r>
    </w:p>
    <w:p>
      <w:pPr>
        <w:bidi/>
        <w:jc w:val="right"/>
        <w:ind w:start="420" w:hanging="420"/>
      </w:pPr>
      <w:r>
        <w:rPr>
          <w:b w:val="0"/>
          <w:i w:val="0"/>
          <w:rtl/>
        </w:rPr>
        <w:t xml:space="preserve">• </w:t>
      </w:r>
      <w:r>
        <w:rPr>
          <w:b/>
          <w:i w:val="0"/>
          <w:rtl/>
          <w:bCs/>
        </w:rPr>
        <w:t>الوحدة 3 (من معالج إلى معالج):</w:t>
      </w:r>
      <w:r>
        <w:rPr>
          <w:b w:val="0"/>
          <w:i w:val="0"/>
          <w:rtl/>
        </w:rPr>
        <w:t xml:space="preserve"> للنقل اللاحق إلى المعالجين الفرعيين خارج المنطقة الاقتصادية الأوروبية.</w:t>
      </w:r>
    </w:p>
    <w:p>
      <w:pPr>
        <w:bidi/>
        <w:jc w:val="right"/>
        <w:ind w:start="420" w:hanging="420"/>
      </w:pPr>
      <w:r>
        <w:rPr>
          <w:b w:val="0"/>
          <w:i w:val="0"/>
          <w:rtl/>
        </w:rPr>
        <w:t xml:space="preserve">• </w:t>
      </w:r>
      <w:r>
        <w:rPr>
          <w:b/>
          <w:i w:val="0"/>
          <w:rtl/>
          <w:bCs/>
        </w:rPr>
        <w:t>المملكة المتحدة:</w:t>
      </w:r>
      <w:r>
        <w:rPr>
          <w:b w:val="0"/>
          <w:i w:val="0"/>
          <w:rtl/>
        </w:rPr>
        <w:t xml:space="preserve"> اتفاقية IDTA أو الملحق البريطاني للبنود الأوروبية.</w:t>
      </w:r>
    </w:p>
    <w:p>
      <w:pPr>
        <w:keepNext/>
        <w:bidi/>
        <w:pStyle w:val="Heading2"/>
        <w:jc w:val="right"/>
      </w:pPr>
      <w:r>
        <w:rPr>
          <w:b w:val="0"/>
          <w:i w:val="0"/>
          <w:rtl/>
        </w:rPr>
        <w:t>خلاصة تقييم أثر النقل</w:t>
      </w:r>
    </w:p>
    <w:p>
      <w:pPr>
        <w:bidi/>
        <w:jc w:val="right"/>
        <w:ind w:start="420" w:hanging="420"/>
      </w:pPr>
      <w:r>
        <w:rPr>
          <w:b w:val="0"/>
          <w:i w:val="0"/>
          <w:rtl/>
        </w:rPr>
        <w:t xml:space="preserve">• </w:t>
      </w:r>
      <w:r>
        <w:rPr>
          <w:b/>
          <w:i w:val="0"/>
          <w:rtl/>
          <w:bCs/>
        </w:rPr>
        <w:t>الوجهة:</w:t>
      </w:r>
      <w:r>
        <w:rPr>
          <w:b w:val="0"/>
          <w:i w:val="0"/>
          <w:rtl/>
        </w:rPr>
        <w:t xml:space="preserve"> مصر، وليس لها قرار كفاية من الاتحاد الأوروبي؛ ويؤخذ في الحسبان قانون حماية البيانات الشخصية المصري رقم 151 لسنة 2020، ويُقيَّم إطار وصول السلطات العامة إلى البيانات فيها.</w:t>
      </w:r>
    </w:p>
    <w:p>
      <w:pPr>
        <w:bidi/>
        <w:jc w:val="right"/>
        <w:ind w:start="420" w:hanging="420"/>
      </w:pPr>
      <w:r>
        <w:rPr>
          <w:b w:val="0"/>
          <w:i w:val="0"/>
          <w:rtl/>
        </w:rPr>
        <w:t>• إجراءات تكميلية: تشفير شامل، ومفاتيح لدى العميل في النمطين أ وب، ووصول مسجّل بانعدام ثقة.</w:t>
      </w:r>
    </w:p>
    <w:p>
      <w:pPr>
        <w:bidi/>
        <w:jc w:val="right"/>
        <w:ind w:start="420" w:hanging="420"/>
      </w:pPr>
      <w:r>
        <w:rPr>
          <w:b w:val="0"/>
          <w:i w:val="0"/>
          <w:rtl/>
        </w:rPr>
        <w:t>• في النمطين أ وب لا تُخزَّن البيانات في مصر، والوصول عن بُعد يُعامل نقلًا ويخضع للبنود.</w:t>
      </w:r>
    </w:p>
    <w:p>
      <w:pPr>
        <w:bidi/>
        <w:jc w:val="right"/>
        <w:ind w:start="420" w:hanging="420"/>
      </w:pPr>
      <w:r>
        <w:rPr>
          <w:b w:val="0"/>
          <w:i w:val="0"/>
          <w:rtl/>
        </w:rPr>
        <w:t>• سياسة الطلبات الحكومية: إخطار العميل حيث يسمح القانون، والطعن في أي طلب غير مشروع.</w:t>
      </w:r>
    </w:p>
    <w:p>
      <w:pPr>
        <w:keepNext/>
        <w:bidi/>
        <w:pStyle w:val="Heading1"/>
        <w:jc w:val="right"/>
      </w:pPr>
      <w:r>
        <w:rPr>
          <w:b w:val="0"/>
          <w:i w:val="0"/>
          <w:rtl/>
        </w:rPr>
        <w:t>الضوابط التي نلتزم بها كتابيًا</w:t>
      </w:r>
    </w:p>
    <w:tbl>
      <w:tblPr>
        <w:tblStyle w:val="TableGrid"/>
        <w:tblW w:type="auto" w:w="0"/>
        <w:tblLook w:firstColumn="1" w:firstRow="1" w:lastColumn="0" w:lastRow="0" w:noHBand="0" w:noVBand="1" w:val="04A0"/>
        <w:bidiVisual/>
      </w:tblPr>
      <w:tblGrid>
        <w:gridCol w:w="4819"/>
        <w:gridCol w:w="4819"/>
      </w:tblGrid>
      <w:tr>
        <w:trPr>
          <w:tblHeader/>
        </w:trPr>
        <w:tc>
          <w:tcPr>
            <w:tcW w:type="dxa" w:w="4819"/>
            <w:shd w:val="clear" w:color="auto" w:fill="2C5A48"/>
          </w:tcPr>
          <w:p>
            <w:pPr>
              <w:bidi/>
              <w:jc w:val="right"/>
            </w:pPr>
            <w:r/>
            <w:r>
              <w:rPr>
                <w:b/>
                <w:i w:val="0"/>
                <w:color w:val="FFFFFF"/>
                <w:sz w:val="18"/>
                <w:rtl/>
                <w:bCs/>
              </w:rPr>
              <w:t>المجال</w:t>
            </w:r>
          </w:p>
        </w:tc>
        <w:tc>
          <w:tcPr>
            <w:tcW w:type="dxa" w:w="4819"/>
            <w:shd w:val="clear" w:color="auto" w:fill="2C5A48"/>
          </w:tcPr>
          <w:p>
            <w:pPr>
              <w:bidi/>
              <w:jc w:val="right"/>
            </w:pPr>
            <w:r/>
            <w:r>
              <w:rPr>
                <w:b/>
                <w:i w:val="0"/>
                <w:color w:val="FFFFFF"/>
                <w:sz w:val="18"/>
                <w:rtl/>
                <w:bCs/>
              </w:rPr>
              <w:t>الضابط</w:t>
            </w:r>
          </w:p>
        </w:tc>
      </w:tr>
      <w:tr>
        <w:tc>
          <w:tcPr>
            <w:tcW w:type="dxa" w:w="4819"/>
          </w:tcPr>
          <w:p>
            <w:pPr>
              <w:bidi/>
              <w:jc w:val="right"/>
            </w:pPr>
            <w:r/>
            <w:r>
              <w:rPr>
                <w:b w:val="0"/>
                <w:i w:val="0"/>
                <w:sz w:val="18"/>
                <w:rtl/>
              </w:rPr>
              <w:t>الوصول</w:t>
            </w:r>
          </w:p>
        </w:tc>
        <w:tc>
          <w:tcPr>
            <w:tcW w:type="dxa" w:w="4819"/>
          </w:tcPr>
          <w:p>
            <w:pPr>
              <w:bidi/>
              <w:jc w:val="right"/>
            </w:pPr>
            <w:r/>
            <w:r>
              <w:rPr>
                <w:b w:val="0"/>
                <w:i w:val="0"/>
                <w:sz w:val="18"/>
                <w:rtl/>
              </w:rPr>
              <w:t>دخول موحّد ومصادقة متعددة العوامل، وصلاحيات بالحد الأدنى تُراجع كل ربع سنة</w:t>
            </w:r>
          </w:p>
        </w:tc>
      </w:tr>
      <w:tr>
        <w:tc>
          <w:tcPr>
            <w:tcW w:type="dxa" w:w="4819"/>
          </w:tcPr>
          <w:p>
            <w:pPr>
              <w:bidi/>
              <w:jc w:val="right"/>
            </w:pPr>
            <w:r/>
            <w:r>
              <w:rPr>
                <w:b w:val="0"/>
                <w:i w:val="0"/>
                <w:sz w:val="18"/>
                <w:rtl/>
              </w:rPr>
              <w:t>التشفير</w:t>
            </w:r>
          </w:p>
        </w:tc>
        <w:tc>
          <w:tcPr>
            <w:tcW w:type="dxa" w:w="4819"/>
          </w:tcPr>
          <w:p>
            <w:pPr>
              <w:bidi/>
              <w:jc w:val="right"/>
            </w:pPr>
            <w:r/>
            <w:r>
              <w:rPr>
                <w:b w:val="0"/>
                <w:i w:val="0"/>
                <w:sz w:val="18"/>
                <w:rtl/>
              </w:rPr>
              <w:t>TLS 1.2 أو أحدث أثناء النقل، وAES-256 أثناء التخزين</w:t>
            </w:r>
          </w:p>
        </w:tc>
      </w:tr>
      <w:tr>
        <w:tc>
          <w:tcPr>
            <w:tcW w:type="dxa" w:w="4819"/>
          </w:tcPr>
          <w:p>
            <w:pPr>
              <w:bidi/>
              <w:jc w:val="right"/>
            </w:pPr>
            <w:r/>
            <w:r>
              <w:rPr>
                <w:b w:val="0"/>
                <w:i w:val="0"/>
                <w:sz w:val="18"/>
                <w:rtl/>
              </w:rPr>
              <w:t>الأجهزة</w:t>
            </w:r>
          </w:p>
        </w:tc>
        <w:tc>
          <w:tcPr>
            <w:tcW w:type="dxa" w:w="4819"/>
          </w:tcPr>
          <w:p>
            <w:pPr>
              <w:bidi/>
              <w:jc w:val="right"/>
            </w:pPr>
            <w:r/>
            <w:r>
              <w:rPr>
                <w:b w:val="0"/>
                <w:i w:val="0"/>
                <w:sz w:val="18"/>
                <w:rtl/>
              </w:rPr>
              <w:t>إدارة مركزية وتشفير كامل للقرص، ومنع وسائط التخزين في المستوى المصرفي</w:t>
            </w:r>
          </w:p>
        </w:tc>
      </w:tr>
      <w:tr>
        <w:tc>
          <w:tcPr>
            <w:tcW w:type="dxa" w:w="4819"/>
          </w:tcPr>
          <w:p>
            <w:pPr>
              <w:bidi/>
              <w:jc w:val="right"/>
            </w:pPr>
            <w:r/>
            <w:r>
              <w:rPr>
                <w:b w:val="0"/>
                <w:i w:val="0"/>
                <w:sz w:val="18"/>
                <w:rtl/>
              </w:rPr>
              <w:t>السجلات</w:t>
            </w:r>
          </w:p>
        </w:tc>
        <w:tc>
          <w:tcPr>
            <w:tcW w:type="dxa" w:w="4819"/>
          </w:tcPr>
          <w:p>
            <w:pPr>
              <w:bidi/>
              <w:jc w:val="right"/>
            </w:pPr>
            <w:r/>
            <w:r>
              <w:rPr>
                <w:b w:val="0"/>
                <w:i w:val="0"/>
                <w:sz w:val="18"/>
                <w:rtl/>
              </w:rPr>
              <w:t>تسجيل كل وصول إلى البيانات والاحتفاظ بالسجلات وفق بيان العمل</w:t>
            </w:r>
          </w:p>
        </w:tc>
      </w:tr>
      <w:tr>
        <w:tc>
          <w:tcPr>
            <w:tcW w:type="dxa" w:w="4819"/>
          </w:tcPr>
          <w:p>
            <w:pPr>
              <w:bidi/>
              <w:jc w:val="right"/>
            </w:pPr>
            <w:r/>
            <w:r>
              <w:rPr>
                <w:b w:val="0"/>
                <w:i w:val="0"/>
                <w:sz w:val="18"/>
                <w:rtl/>
              </w:rPr>
              <w:t>الثغرات</w:t>
            </w:r>
          </w:p>
        </w:tc>
        <w:tc>
          <w:tcPr>
            <w:tcW w:type="dxa" w:w="4819"/>
          </w:tcPr>
          <w:p>
            <w:pPr>
              <w:bidi/>
              <w:jc w:val="right"/>
            </w:pPr>
            <w:r/>
            <w:r>
              <w:rPr>
                <w:b w:val="0"/>
                <w:i w:val="0"/>
                <w:sz w:val="18"/>
                <w:rtl/>
              </w:rPr>
              <w:t>فحص مستمر واختبار اختراق مستقل دوري</w:t>
            </w:r>
          </w:p>
        </w:tc>
      </w:tr>
      <w:tr>
        <w:tc>
          <w:tcPr>
            <w:tcW w:type="dxa" w:w="4819"/>
          </w:tcPr>
          <w:p>
            <w:pPr>
              <w:bidi/>
              <w:jc w:val="right"/>
            </w:pPr>
            <w:r/>
            <w:r>
              <w:rPr>
                <w:b w:val="0"/>
                <w:i w:val="0"/>
                <w:sz w:val="18"/>
                <w:rtl/>
              </w:rPr>
              <w:t>التطوير الآمن</w:t>
            </w:r>
          </w:p>
        </w:tc>
        <w:tc>
          <w:tcPr>
            <w:tcW w:type="dxa" w:w="4819"/>
          </w:tcPr>
          <w:p>
            <w:pPr>
              <w:bidi/>
              <w:jc w:val="right"/>
            </w:pPr>
            <w:r/>
            <w:r>
              <w:rPr>
                <w:b w:val="0"/>
                <w:i w:val="0"/>
                <w:sz w:val="18"/>
                <w:rtl/>
              </w:rPr>
              <w:t>مراجعة الكود وفحص SAST والأسرار، واعتماد بشري لكل دمج</w:t>
            </w:r>
          </w:p>
        </w:tc>
      </w:tr>
      <w:tr>
        <w:tc>
          <w:tcPr>
            <w:tcW w:type="dxa" w:w="4819"/>
          </w:tcPr>
          <w:p>
            <w:pPr>
              <w:bidi/>
              <w:jc w:val="right"/>
            </w:pPr>
            <w:r/>
            <w:r>
              <w:rPr>
                <w:b w:val="0"/>
                <w:i w:val="0"/>
                <w:sz w:val="18"/>
                <w:rtl/>
              </w:rPr>
              <w:t>الأفراد</w:t>
            </w:r>
          </w:p>
        </w:tc>
        <w:tc>
          <w:tcPr>
            <w:tcW w:type="dxa" w:w="4819"/>
          </w:tcPr>
          <w:p>
            <w:pPr>
              <w:bidi/>
              <w:jc w:val="right"/>
            </w:pPr>
            <w:r/>
            <w:r>
              <w:rPr>
                <w:b w:val="0"/>
                <w:i w:val="0"/>
                <w:sz w:val="18"/>
                <w:rtl/>
              </w:rPr>
              <w:t>فحص خلفية والتزام سرية وتدريب أمني عند الانضمام وسنويًا</w:t>
            </w:r>
          </w:p>
        </w:tc>
      </w:tr>
      <w:tr>
        <w:tc>
          <w:tcPr>
            <w:tcW w:type="dxa" w:w="4819"/>
          </w:tcPr>
          <w:p>
            <w:pPr>
              <w:bidi/>
              <w:jc w:val="right"/>
            </w:pPr>
            <w:r/>
            <w:r>
              <w:rPr>
                <w:b w:val="0"/>
                <w:i w:val="0"/>
                <w:sz w:val="18"/>
                <w:rtl/>
              </w:rPr>
              <w:t>الاستمرارية</w:t>
            </w:r>
          </w:p>
        </w:tc>
        <w:tc>
          <w:tcPr>
            <w:tcW w:type="dxa" w:w="4819"/>
          </w:tcPr>
          <w:p>
            <w:pPr>
              <w:bidi/>
              <w:jc w:val="right"/>
            </w:pPr>
            <w:r/>
            <w:r>
              <w:rPr>
                <w:b w:val="0"/>
                <w:i w:val="0"/>
                <w:sz w:val="18"/>
                <w:rtl/>
              </w:rPr>
              <w:t>خطة استمرارية وتعافٍ تُختبر سنويًا</w:t>
            </w:r>
          </w:p>
        </w:tc>
      </w:tr>
      <w:tr>
        <w:tc>
          <w:tcPr>
            <w:tcW w:type="dxa" w:w="4819"/>
          </w:tcPr>
          <w:p>
            <w:pPr>
              <w:bidi/>
              <w:jc w:val="right"/>
            </w:pPr>
            <w:r/>
            <w:r>
              <w:rPr>
                <w:b w:val="0"/>
                <w:i w:val="0"/>
                <w:sz w:val="18"/>
                <w:rtl/>
              </w:rPr>
              <w:t>الحوادث</w:t>
            </w:r>
          </w:p>
        </w:tc>
        <w:tc>
          <w:tcPr>
            <w:tcW w:type="dxa" w:w="4819"/>
          </w:tcPr>
          <w:p>
            <w:pPr>
              <w:bidi/>
              <w:jc w:val="right"/>
            </w:pPr>
            <w:r/>
            <w:r>
              <w:rPr>
                <w:b w:val="0"/>
                <w:i w:val="0"/>
                <w:sz w:val="18"/>
                <w:rtl/>
              </w:rPr>
              <w:t>إجراءات موثقة وإخطار العميل خلال 24 ساعة</w:t>
            </w:r>
          </w:p>
        </w:tc>
      </w:tr>
      <w:tr>
        <w:tc>
          <w:tcPr>
            <w:tcW w:type="dxa" w:w="4819"/>
          </w:tcPr>
          <w:p>
            <w:pPr>
              <w:bidi/>
              <w:jc w:val="right"/>
            </w:pPr>
            <w:r/>
            <w:r>
              <w:rPr>
                <w:b w:val="0"/>
                <w:i w:val="0"/>
                <w:sz w:val="18"/>
                <w:rtl/>
              </w:rPr>
              <w:t>الذكاء الاصطناعي</w:t>
            </w:r>
          </w:p>
        </w:tc>
        <w:tc>
          <w:tcPr>
            <w:tcW w:type="dxa" w:w="4819"/>
          </w:tcPr>
          <w:p>
            <w:pPr>
              <w:bidi/>
              <w:jc w:val="right"/>
            </w:pPr>
            <w:r/>
            <w:r>
              <w:rPr>
                <w:b w:val="0"/>
                <w:i w:val="0"/>
                <w:sz w:val="18"/>
                <w:rtl/>
              </w:rPr>
              <w:t>أدوات معتمدة فقط بأوضاع لا تحتفظ بالبيانات</w:t>
            </w:r>
          </w:p>
        </w:tc>
      </w:tr>
      <w:tr>
        <w:tc>
          <w:tcPr>
            <w:tcW w:type="dxa" w:w="4819"/>
          </w:tcPr>
          <w:p>
            <w:pPr>
              <w:bidi/>
              <w:jc w:val="right"/>
            </w:pPr>
            <w:r/>
            <w:r>
              <w:rPr>
                <w:b w:val="0"/>
                <w:i w:val="0"/>
                <w:sz w:val="18"/>
                <w:rtl/>
              </w:rPr>
              <w:t>الحذف</w:t>
            </w:r>
          </w:p>
        </w:tc>
        <w:tc>
          <w:tcPr>
            <w:tcW w:type="dxa" w:w="4819"/>
          </w:tcPr>
          <w:p>
            <w:pPr>
              <w:bidi/>
              <w:jc w:val="right"/>
            </w:pPr>
            <w:r/>
            <w:r>
              <w:rPr>
                <w:b w:val="0"/>
                <w:i w:val="0"/>
                <w:sz w:val="18"/>
                <w:rtl/>
              </w:rPr>
              <w:t>حذف آمن عند انتهاء الخدمة مع شهادة مكتوبة</w:t>
            </w:r>
          </w:p>
        </w:tc>
      </w:tr>
    </w:tbl>
    <w:p/>
    <w:p>
      <w:pPr>
        <w:keepNext/>
        <w:bidi/>
        <w:pStyle w:val="Heading1"/>
        <w:jc w:val="right"/>
      </w:pPr>
      <w:r>
        <w:rPr>
          <w:b w:val="0"/>
          <w:i w:val="0"/>
          <w:rtl/>
        </w:rPr>
        <w:t>هيكل الاتفاقية وملاحقها</w:t>
      </w:r>
    </w:p>
    <w:p>
      <w:pPr>
        <w:bidi/>
        <w:jc w:val="right"/>
        <w:ind w:start="420" w:hanging="420"/>
      </w:pPr>
      <w:r>
        <w:rPr>
          <w:b w:val="0"/>
          <w:i w:val="0"/>
          <w:rtl/>
        </w:rPr>
        <w:t>1. التعريفات والنطاق</w:t>
      </w:r>
    </w:p>
    <w:p>
      <w:pPr>
        <w:bidi/>
        <w:jc w:val="right"/>
        <w:ind w:start="420" w:hanging="420"/>
      </w:pPr>
      <w:r>
        <w:rPr>
          <w:b w:val="0"/>
          <w:i w:val="0"/>
          <w:rtl/>
        </w:rPr>
        <w:t>2. أدوار الطرفين</w:t>
      </w:r>
    </w:p>
    <w:p>
      <w:pPr>
        <w:bidi/>
        <w:jc w:val="right"/>
        <w:ind w:start="420" w:hanging="420"/>
      </w:pPr>
      <w:r>
        <w:rPr>
          <w:b w:val="0"/>
          <w:i w:val="0"/>
          <w:rtl/>
        </w:rPr>
        <w:t>3. تعليمات المعالجة</w:t>
      </w:r>
    </w:p>
    <w:p>
      <w:pPr>
        <w:bidi/>
        <w:jc w:val="right"/>
        <w:ind w:start="420" w:hanging="420"/>
      </w:pPr>
      <w:r>
        <w:rPr>
          <w:b w:val="0"/>
          <w:i w:val="0"/>
          <w:rtl/>
        </w:rPr>
        <w:t>4. سرية الأفراد</w:t>
      </w:r>
    </w:p>
    <w:p>
      <w:pPr>
        <w:bidi/>
        <w:jc w:val="right"/>
        <w:ind w:start="420" w:hanging="420"/>
      </w:pPr>
      <w:r>
        <w:rPr>
          <w:b w:val="0"/>
          <w:i w:val="0"/>
          <w:rtl/>
        </w:rPr>
        <w:t>5. أمن المعالجة</w:t>
      </w:r>
    </w:p>
    <w:p>
      <w:pPr>
        <w:bidi/>
        <w:jc w:val="right"/>
        <w:ind w:start="420" w:hanging="420"/>
      </w:pPr>
      <w:r>
        <w:rPr>
          <w:b w:val="0"/>
          <w:i w:val="0"/>
          <w:rtl/>
        </w:rPr>
        <w:t>6. المعالجون الفرعيون</w:t>
      </w:r>
    </w:p>
    <w:p>
      <w:pPr>
        <w:bidi/>
        <w:jc w:val="right"/>
        <w:ind w:start="420" w:hanging="420"/>
      </w:pPr>
      <w:r>
        <w:rPr>
          <w:b w:val="0"/>
          <w:i w:val="0"/>
          <w:rtl/>
        </w:rPr>
        <w:t>7. النقل الدولي</w:t>
      </w:r>
    </w:p>
    <w:p>
      <w:pPr>
        <w:bidi/>
        <w:jc w:val="right"/>
        <w:ind w:start="420" w:hanging="420"/>
      </w:pPr>
      <w:r>
        <w:rPr>
          <w:b w:val="0"/>
          <w:i w:val="0"/>
          <w:rtl/>
        </w:rPr>
        <w:t>8. طلبات أصحاب البيانات</w:t>
      </w:r>
    </w:p>
    <w:p>
      <w:pPr>
        <w:bidi/>
        <w:jc w:val="right"/>
        <w:ind w:start="420" w:hanging="420"/>
      </w:pPr>
      <w:r>
        <w:rPr>
          <w:b w:val="0"/>
          <w:i w:val="0"/>
          <w:rtl/>
        </w:rPr>
        <w:t>9. حوادث البيانات الشخصية</w:t>
      </w:r>
    </w:p>
    <w:p>
      <w:pPr>
        <w:bidi/>
        <w:jc w:val="right"/>
        <w:ind w:start="420" w:hanging="420"/>
      </w:pPr>
      <w:r>
        <w:rPr>
          <w:b w:val="0"/>
          <w:i w:val="0"/>
          <w:rtl/>
        </w:rPr>
        <w:t>10. تقييمات الأثر والتشاور المسبق</w:t>
      </w:r>
    </w:p>
    <w:p>
      <w:pPr>
        <w:bidi/>
        <w:jc w:val="right"/>
        <w:ind w:start="420" w:hanging="420"/>
      </w:pPr>
      <w:r>
        <w:rPr>
          <w:b w:val="0"/>
          <w:i w:val="0"/>
          <w:rtl/>
        </w:rPr>
        <w:t>11. التدقيق والمعلومات</w:t>
      </w:r>
    </w:p>
    <w:p>
      <w:pPr>
        <w:bidi/>
        <w:jc w:val="right"/>
        <w:ind w:start="420" w:hanging="420"/>
      </w:pPr>
      <w:r>
        <w:rPr>
          <w:b w:val="0"/>
          <w:i w:val="0"/>
          <w:rtl/>
        </w:rPr>
        <w:t>12. طلبات الوصول الحكومية</w:t>
      </w:r>
    </w:p>
    <w:p>
      <w:pPr>
        <w:bidi/>
        <w:jc w:val="right"/>
        <w:ind w:start="420" w:hanging="420"/>
      </w:pPr>
      <w:r>
        <w:rPr>
          <w:b w:val="0"/>
          <w:i w:val="0"/>
          <w:rtl/>
        </w:rPr>
        <w:t>13. الإعادة والحذف</w:t>
      </w:r>
    </w:p>
    <w:p>
      <w:pPr>
        <w:bidi/>
        <w:jc w:val="right"/>
        <w:ind w:start="420" w:hanging="420"/>
      </w:pPr>
      <w:r>
        <w:rPr>
          <w:b w:val="0"/>
          <w:i w:val="0"/>
          <w:rtl/>
        </w:rPr>
        <w:t>14. المسؤولية</w:t>
      </w:r>
    </w:p>
    <w:p>
      <w:pPr>
        <w:bidi/>
        <w:jc w:val="right"/>
        <w:ind w:start="420" w:hanging="420"/>
      </w:pPr>
      <w:r>
        <w:rPr>
          <w:b w:val="0"/>
          <w:i w:val="0"/>
          <w:rtl/>
        </w:rPr>
        <w:t>15. المدة والأولوية</w:t>
      </w:r>
    </w:p>
    <w:p>
      <w:pPr>
        <w:bidi/>
        <w:jc w:val="right"/>
      </w:pPr>
      <w:r>
        <w:rPr>
          <w:b w:val="0"/>
          <w:i w:val="0"/>
          <w:rtl/>
        </w:rPr>
        <w:t>ملفات PDF وDOCX لهذا النص ملخص للشروط الرئيسية، بالعربية والإنجليزية (الإصدار 2026.10؛ آخر مراجعة قانونية: بانتظار المستشار القانوني). وهي ليست اتفاقية معالجة البيانات النافذة؛ فالاتفاقية النافذة تصدر مع عرض السعر بعد مراجعة المستشار القانوني. ويبيّن هذا الهيكل بنية الاتفاقية.</w:t>
      </w:r>
    </w:p>
    <w:p>
      <w:pPr>
        <w:bidi/>
        <w:jc w:val="right"/>
      </w:pPr>
      <w:r>
        <w:rPr>
          <w:b w:val="0"/>
          <w:i w:val="0"/>
          <w:rtl/>
        </w:rPr>
        <w:t>الإصدار 2026.10 · نُشر في أكتوبر 2026 · آخر مراجعة قانونية: بانتظار المستشار القانوني</w:t>
      </w:r>
    </w:p>
    <w:p>
      <w:pPr>
        <w:bidi/>
        <w:jc w:val="right"/>
      </w:pPr>
      <w:r>
        <w:rPr>
          <w:b/>
          <w:i w:val="0"/>
          <w:rtl/>
          <w:bCs/>
        </w:rPr>
        <w:t>الملاحق:</w:t>
      </w:r>
      <w:r>
        <w:rPr>
          <w:b w:val="0"/>
          <w:i w:val="0"/>
          <w:rtl/>
        </w:rPr>
        <w:t xml:space="preserve"> 1 وصف المعالجة · 2 سجل المعالجين الفرعيين · 3 الضوابط الفنية والتنظيمية · 4 ملحق PDPL السعودي · 5 ملحق الإمارات وDIFC وADGM · 6 البنود الأوروبية والملحق البريطاني · 7 ملحق قانون حماية البيانات المصري · 8 شروط CCPA</w:t>
      </w:r>
    </w:p>
    <w:p>
      <w:pPr>
        <w:bidi/>
        <w:jc w:val="right"/>
      </w:pPr>
      <w:r>
        <w:rPr>
          <w:b/>
          <w:i w:val="0"/>
          <w:rtl/>
          <w:bCs/>
        </w:rPr>
        <w:t>الإصدار:</w:t>
      </w:r>
      <w:r>
        <w:rPr>
          <w:b w:val="0"/>
          <w:i w:val="0"/>
          <w:rtl/>
        </w:rPr>
        <w:t xml:space="preserve"> 2026.10 · نُشر في أكتوبر 2026 · آخر مراجعة قانونية: بانتظار المستشار القانوني</w:t>
      </w:r>
    </w:p>
    <w:p>
      <w:pPr>
        <w:keepNext/>
        <w:bidi/>
        <w:pStyle w:val="Heading1"/>
        <w:jc w:val="right"/>
      </w:pPr>
      <w:r>
        <w:rPr>
          <w:b w:val="0"/>
          <w:i w:val="0"/>
          <w:rtl/>
        </w:rPr>
        <w:t>المعالجون الفرعيون، منطقة بمنطقة</w:t>
      </w:r>
    </w:p>
    <w:p>
      <w:pPr>
        <w:bidi/>
        <w:jc w:val="right"/>
      </w:pPr>
      <w:r>
        <w:rPr>
          <w:b w:val="0"/>
          <w:i/>
          <w:rtl/>
        </w:rPr>
        <w:t>السجل هو الملحق 2 من هذه الاتفاقية، وهو منشور في مركز الثقة، مع إشعار قبل 30 يومًا من أي تغيير.</w:t>
      </w:r>
    </w:p>
    <w:p>
      <w:pPr>
        <w:keepNext/>
        <w:bidi/>
        <w:pStyle w:val="Heading1"/>
        <w:jc w:val="right"/>
      </w:pPr>
      <w:r>
        <w:rPr>
          <w:b w:val="0"/>
          <w:i w:val="0"/>
          <w:rtl/>
        </w:rPr>
        <w:t>أسئلة شائعة</w:t>
      </w:r>
    </w:p>
    <w:p>
      <w:pPr>
        <w:keepNext/>
        <w:bidi/>
        <w:pStyle w:val="Heading2"/>
        <w:jc w:val="right"/>
      </w:pPr>
      <w:r>
        <w:rPr>
          <w:b w:val="0"/>
          <w:i w:val="0"/>
          <w:rtl/>
        </w:rPr>
        <w:t>هل Remote Pro Ai جهة تحكم أم جهة معالجة؟</w:t>
      </w:r>
    </w:p>
    <w:p>
      <w:pPr>
        <w:bidi/>
        <w:jc w:val="right"/>
      </w:pPr>
      <w:r>
        <w:rPr>
          <w:b w:val="0"/>
          <w:i w:val="0"/>
          <w:rtl/>
        </w:rPr>
        <w:t>بالنسبة للبيانات الشخصية التي يتعامل معها مهندسونا داخل أنظمتك، أنت جهة التحكم وRemote Pro Ai جهة المعالجة، وتعمل فقط وفق تعليماتك الموثقة. أما بيانات أعمالنا الخاصة، مثل جهات الاتصال في حسابك والفواتير، فـRemote Pro Ai هي جهة التحكم، ويشرح إشعار الخصوصية كيف نتعامل معها.</w:t>
      </w:r>
    </w:p>
    <w:p>
      <w:pPr>
        <w:keepNext/>
        <w:bidi/>
        <w:pStyle w:val="Heading2"/>
        <w:jc w:val="right"/>
      </w:pPr>
      <w:r>
        <w:rPr>
          <w:b w:val="0"/>
          <w:i w:val="0"/>
          <w:rtl/>
        </w:rPr>
        <w:t>هل تغادر البيانات السعودية المملكة؟</w:t>
      </w:r>
    </w:p>
    <w:p>
      <w:pPr>
        <w:bidi/>
        <w:jc w:val="right"/>
      </w:pPr>
      <w:r>
        <w:rPr>
          <w:b w:val="0"/>
          <w:i w:val="0"/>
          <w:rtl/>
        </w:rPr>
        <w:t>فقط إذا سمح عقدك بذلك. في النمط A أو B، تبقى البيانات في بيئتك أو في منطقتك السحابية داخل المملكة. وحين يُعد الوصول عن بُعد من القاهرة نقلًا، يطبّق الملحق السعودي البنود التعاقدية القياسية وتقييمًا لمخاطر النقل. ولا ندّعي الكفاية لأي وجهة.</w:t>
      </w:r>
    </w:p>
    <w:p>
      <w:pPr>
        <w:keepNext/>
        <w:bidi/>
        <w:pStyle w:val="Heading2"/>
        <w:jc w:val="right"/>
      </w:pPr>
      <w:r>
        <w:rPr>
          <w:b w:val="0"/>
          <w:i w:val="0"/>
          <w:rtl/>
        </w:rPr>
        <w:t>لماذا تحتاجون البنود التعاقدية القياسية إذا بقيت البيانات الأوروبية داخل الاتحاد الأوروبي؟</w:t>
      </w:r>
    </w:p>
    <w:p>
      <w:pPr>
        <w:bidi/>
        <w:jc w:val="right"/>
      </w:pPr>
      <w:r>
        <w:rPr>
          <w:b w:val="0"/>
          <w:i w:val="0"/>
          <w:rtl/>
        </w:rPr>
        <w:t>وفق GDPR، يُعد اطلاع مهندس في مصر على بيانات شخصية أوروبية نقلًا، حتى لو لم تغادر البيانات خادمًا أوروبيًا. وتغطي البنود التعاقدية القياسية (الوحدة 2) وتقييم أثر النقل هذا الوصول، وتخفض التدابير التكميلية مثل التشفير والوصول بمبدأ انعدام الثقة والتسجيل المخاطر أكثر.</w:t>
      </w:r>
    </w:p>
    <w:p>
      <w:pPr>
        <w:keepNext/>
        <w:bidi/>
        <w:pStyle w:val="Heading2"/>
        <w:jc w:val="right"/>
      </w:pPr>
      <w:r>
        <w:rPr>
          <w:b w:val="0"/>
          <w:i w:val="0"/>
          <w:rtl/>
        </w:rPr>
        <w:t>ما سرعة إبلاغكم لنا بأي اختراق؟</w:t>
      </w:r>
    </w:p>
    <w:p>
      <w:pPr>
        <w:bidi/>
        <w:jc w:val="right"/>
      </w:pPr>
      <w:r>
        <w:rPr>
          <w:b w:val="0"/>
          <w:i w:val="0"/>
          <w:rtl/>
        </w:rPr>
        <w:t>خلال 24 ساعة من تأكيد اختراق للبيانات الشخصية يمس بياناتك. ويتضمن الإشعار ما حدث والبيانات المعنية والأثر المحتمل والخطوات المتخذة، تليه تحديثات مع استمرار التحقيق. وهذا يمنحك وقتًا للوفاء بمهلك التنظيمية، مثل 72 ساعة وفق GDPR ونظام حماية البيانات الشخصية السعودي.</w:t>
      </w:r>
    </w:p>
    <w:p>
      <w:pPr>
        <w:keepNext/>
        <w:bidi/>
        <w:pStyle w:val="Heading2"/>
        <w:jc w:val="right"/>
      </w:pPr>
      <w:r>
        <w:rPr>
          <w:b w:val="0"/>
          <w:i w:val="0"/>
          <w:rtl/>
        </w:rPr>
        <w:t>هل يمكننا الاعتراض على معالج فرعي جديد؟</w:t>
      </w:r>
    </w:p>
    <w:p>
      <w:pPr>
        <w:bidi/>
        <w:jc w:val="right"/>
      </w:pPr>
      <w:r>
        <w:rPr>
          <w:b w:val="0"/>
          <w:i w:val="0"/>
          <w:rtl/>
        </w:rPr>
        <w:t>نعم. نرسل إشعارًا قبل 30 يومًا من معالجة أي معالج فرعي جديد لبياناتك الشخصية. ويمكنك الاعتراض لأسباب معقولة تتعلق بحماية البيانات خلال تلك المدة. ثم نعمل معك على بديل، وإن تعذّر ذلك يمكنك إنهاء الخدمة المتأثرة دون غرامة، وفق ما تنص عليه اتفاقية معالجة البيانات.</w:t>
      </w:r>
    </w:p>
    <w:sectPr w:rsidR="00FC693F" w:rsidRPr="0006063C" w:rsidSect="00034616">
      <w:headerReference w:type="default" r:id="rId9"/>
      <w:footerReference w:type="default" r:id="rId10"/>
      <w:pgSz w:w="11906" w:h="16838"/>
      <w:pgMar w:top="1134" w:right="1134" w:bottom="1020" w:left="113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right"/>
    </w:pPr>
    <w:r>
      <w:rPr>
        <w:b w:val="0"/>
        <w:i w:val="0"/>
        <w:sz w:val="16"/>
        <w:rtl/>
      </w:rPr>
      <w:t xml:space="preserve">الإصدار 2026.10 · آخر مراجعة قانونية: بانتظار المستشار القانوني · صفحة </w:t>
    </w:r>
    <w:r>
      <w:fldChar w:fldCharType="begin"/>
    </w:r>
    <w:r>
      <w:instrText xml:space="preserve">PAGE</w:instrText>
    </w:r>
    <w:r>
      <w:fldChar w:fldCharType="separate"/>
    </w:r>
    <w:r>
      <w:t>1</w:t>
    </w:r>
    <w:r>
      <w:fldChar w:fldCharType="end"/>
    </w:r>
    <w:r>
      <w:rPr>
        <w:b w:val="0"/>
        <w:i w:val="0"/>
        <w:sz w:val="16"/>
        <w:rtl/>
      </w:rPr>
      <w:t xml:space="preserve"> / </w:t>
    </w:r>
    <w:r>
      <w:fldChar w:fldCharType="begin"/>
    </w:r>
    <w:r>
      <w:instrText xml:space="preserve">NUMPAGES</w:instrText>
    </w:r>
    <w:r>
      <w:fldChar w:fldCharType="separate"/>
    </w:r>
    <w:r>
      <w:t>1</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Header"/>
      <w:jc w:val="right"/>
    </w:pPr>
    <w:r>
      <w:rPr>
        <w:b w:val="0"/>
        <w:i w:val="0"/>
        <w:color w:val="2C5A48"/>
        <w:sz w:val="16"/>
        <w:rtl/>
      </w:rPr>
      <w:t>Remote Pro Ai · اتفاقية معالجة البيانات (DPA) — الشروط الرئيسية (ملخص) · 2026.10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2C5A48"/>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0B122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b/>
      <w:color w:val="2C5A48"/>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اتفاقية معالجة البيانات (DPA) — الشروط الرئيسية (ملخص) · Remote Pro Ai</dc:title>
  <dc:subject>الإصدار 2026.10 · آخر مراجعة قانونية: بانتظار المستشار القانوني</dc:subject>
  <dc:creator>Remote Pro Ai</dc:creator>
  <cp:keywords>Remote Pro Ai; DPA; 2026.10; ar</cp:keywords>
  <dc:description>الإصدار 2026.10 · آخر مراجعة قانونية: بانتظار المستشار القانوني · source remote-pro.ai/ar/legal/dpa · sha256 e587e2a21973d50f558cb7f4bbe6835e07eacac44b4914cc40016f1499b0e249</dc:description>
  <cp:lastModifiedBy>Remote Pro Ai</cp:lastModifiedBy>
  <cp:revision>1</cp:revision>
  <dcterms:created xsi:type="dcterms:W3CDTF">2026-10-01T00:00:00Z</dcterms:created>
  <dcterms:modified xsi:type="dcterms:W3CDTF">2026-10-01T00:00:00Z</dcterms:modified>
  <cp:category/>
  <cp:version>2026.10</cp:version>
  <dc:language>ar-SA</dc:language>
</cp:coreProperties>
</file>